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drawing>
          <wp:anchor allowOverlap="1" behindDoc="0" distB="114300" distT="114300" distL="114300" distR="114300" hidden="0" layoutInCell="1" locked="0" relativeHeight="0" simplePos="0">
            <wp:simplePos x="0" y="0"/>
            <wp:positionH relativeFrom="page">
              <wp:posOffset>1068648</wp:posOffset>
            </wp:positionH>
            <wp:positionV relativeFrom="page">
              <wp:posOffset>871350</wp:posOffset>
            </wp:positionV>
            <wp:extent cx="6084145" cy="8863200"/>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1537" l="0" r="0" t="0"/>
                    <a:stretch>
                      <a:fillRect/>
                    </a:stretch>
                  </pic:blipFill>
                  <pic:spPr>
                    <a:xfrm>
                      <a:off x="0" y="0"/>
                      <a:ext cx="6084145" cy="886320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jc w:val="center"/>
        <w:rPr/>
      </w:pPr>
      <w:r w:rsidDel="00000000" w:rsidR="00000000" w:rsidRPr="00000000">
        <w:rPr>
          <w:rtl w:val="0"/>
        </w:rPr>
      </w:r>
    </w:p>
    <w:p w:rsidR="00000000" w:rsidDel="00000000" w:rsidP="00000000" w:rsidRDefault="00000000" w:rsidRPr="00000000" w14:paraId="00000024">
      <w:pPr>
        <w:pageBreakBefore w:val="0"/>
        <w:jc w:val="center"/>
        <w:rPr/>
      </w:pPr>
      <w:r w:rsidDel="00000000" w:rsidR="00000000" w:rsidRPr="00000000">
        <w:rPr>
          <w:rtl w:val="0"/>
        </w:rPr>
      </w:r>
    </w:p>
    <w:p w:rsidR="00000000" w:rsidDel="00000000" w:rsidP="00000000" w:rsidRDefault="00000000" w:rsidRPr="00000000" w14:paraId="00000025">
      <w:pPr>
        <w:pageBreakBefore w:val="0"/>
        <w:jc w:val="center"/>
        <w:rPr/>
      </w:pPr>
      <w:r w:rsidDel="00000000" w:rsidR="00000000" w:rsidRPr="00000000">
        <w:rPr>
          <w:rtl w:val="0"/>
        </w:rPr>
      </w:r>
    </w:p>
    <w:p w:rsidR="00000000" w:rsidDel="00000000" w:rsidP="00000000" w:rsidRDefault="00000000" w:rsidRPr="00000000" w14:paraId="00000026">
      <w:pPr>
        <w:pageBreakBefore w:val="0"/>
        <w:jc w:val="center"/>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tl w:val="0"/>
        </w:rPr>
      </w:r>
    </w:p>
    <w:p w:rsidR="00000000" w:rsidDel="00000000" w:rsidP="00000000" w:rsidRDefault="00000000" w:rsidRPr="00000000" w14:paraId="0000002B">
      <w:pPr>
        <w:pageBreakBefore w:val="0"/>
        <w:ind w:left="0" w:firstLine="0"/>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2C">
      <w:pPr>
        <w:pageBreakBefore w:val="0"/>
        <w:ind w:left="0" w:firstLine="0"/>
        <w:rPr>
          <w:b w:val="1"/>
          <w:bCs w:val="1"/>
          <w:sz w:val="36"/>
          <w:szCs w:val="36"/>
        </w:rPr>
      </w:pPr>
      <w:r w:rsidDel="00000000" w:rsidR="00000000" w:rsidRPr="00000000">
        <w:rPr>
          <w:b w:val="1"/>
          <w:bCs w:val="1"/>
          <w:sz w:val="36"/>
          <w:szCs w:val="36"/>
          <w:rtl w:val="0"/>
        </w:rPr>
        <w:t xml:space="preserve">The Molecule of Life</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numPr>
          <w:ilvl w:val="0"/>
          <w:numId w:val="1"/>
        </w:numPr>
        <w:ind w:left="720" w:hanging="360"/>
        <w:rPr>
          <w:u w:val="none"/>
        </w:rPr>
      </w:pPr>
      <w:r w:rsidDel="00000000" w:rsidR="00000000" w:rsidRPr="00000000">
        <w:rPr>
          <w:rtl w:val="0"/>
        </w:rPr>
        <w:t xml:space="preserve">Complete the table below, which lists some information about the main groups of molecules associated with biological processes. For the empty brackets you will need to provide an example that performs the given function. </w:t>
      </w:r>
    </w:p>
    <w:p w:rsidR="00000000" w:rsidDel="00000000" w:rsidP="00000000" w:rsidRDefault="00000000" w:rsidRPr="00000000" w14:paraId="0000002F">
      <w:pPr>
        <w:pageBreakBefore w:val="0"/>
        <w:ind w:left="0" w:firstLine="0"/>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65"/>
        <w:gridCol w:w="2370"/>
        <w:gridCol w:w="2700"/>
        <w:gridCol w:w="2294"/>
        <w:tblGridChange w:id="0">
          <w:tblGrid>
            <w:gridCol w:w="1665"/>
            <w:gridCol w:w="2370"/>
            <w:gridCol w:w="2700"/>
            <w:gridCol w:w="229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Group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Carbohydrates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Lipids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color w:val="4a86e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Composition </w:t>
            </w:r>
            <w:r w:rsidDel="00000000" w:rsidR="00000000" w:rsidRPr="00000000">
              <w:rPr>
                <w:b w:val="1"/>
                <w:bCs w:val="1"/>
                <w:rtl w:val="0"/>
              </w:rPr>
              <w:t xml:space="preserve">(elements)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 H 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 H 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 H O N 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highlight w:val="white"/>
              </w:rPr>
            </w:pPr>
            <w:r w:rsidDel="00000000" w:rsidR="00000000" w:rsidRPr="00000000">
              <w:rPr>
                <w:b w:val="1"/>
                <w:bCs w:val="1"/>
                <w:highlight w:val="white"/>
                <w:rtl w:val="0"/>
              </w:rPr>
              <w:t xml:space="preserve">Examples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Simple</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highlight w:val="white"/>
              </w:rPr>
            </w:pPr>
            <w:r w:rsidDel="00000000" w:rsidR="00000000" w:rsidRPr="00000000">
              <w:rPr>
                <w:highlight w:val="white"/>
                <w:rtl w:val="0"/>
              </w:rPr>
              <w:t xml:space="preserve">Eg </w:t>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highlight w:val="whit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More complex</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highlight w:val="white"/>
              </w:rPr>
            </w:pPr>
            <w:r w:rsidDel="00000000" w:rsidR="00000000" w:rsidRPr="00000000">
              <w:rPr>
                <w:highlight w:val="white"/>
                <w:rtl w:val="0"/>
              </w:rPr>
              <w:t xml:space="preserve">Eg </w:t>
            </w: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highlight w:val="whit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Very complex</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highlight w:val="white"/>
              </w:rPr>
            </w:pPr>
            <w:r w:rsidDel="00000000" w:rsidR="00000000" w:rsidRPr="00000000">
              <w:rPr>
                <w:highlight w:val="white"/>
                <w:rtl w:val="0"/>
              </w:rPr>
              <w:t xml:space="preserve">Eg </w:t>
            </w: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Fats, oils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rPr>
            </w:pPr>
            <w:r w:rsidDel="00000000" w:rsidR="00000000" w:rsidRPr="00000000">
              <w:rPr>
                <w:rtl w:val="0"/>
              </w:rPr>
              <w:t xml:space="preserve">Amylase </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rPr>
            </w:pPr>
            <w:r w:rsidDel="00000000" w:rsidR="00000000" w:rsidRPr="00000000">
              <w:rPr>
                <w:rtl w:val="0"/>
              </w:rPr>
              <w:t xml:space="preserve">H</w:t>
            </w:r>
            <w:r w:rsidDel="00000000" w:rsidR="00000000" w:rsidRPr="00000000">
              <w:rPr>
                <w:rtl w:val="0"/>
              </w:rPr>
              <w:t xml:space="preserve">aemoglobin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Basic units </w:t>
            </w:r>
            <w:r w:rsidDel="00000000" w:rsidR="00000000" w:rsidRPr="00000000">
              <w:rPr>
                <w:b w:val="1"/>
                <w:bCs w:val="1"/>
                <w:rtl w:val="0"/>
              </w:rPr>
              <w:t xml:space="preserve">(monomer)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Monosaccharides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Amino Acids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Multiple Units </w:t>
            </w:r>
            <w:r w:rsidDel="00000000" w:rsidR="00000000" w:rsidRPr="00000000">
              <w:rPr>
                <w:b w:val="1"/>
                <w:bCs w:val="1"/>
                <w:rtl w:val="0"/>
              </w:rPr>
              <w:t xml:space="preserve">(polymer)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Triglycerides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Dipeptides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4a86e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Functions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Energy sources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Energy storage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Structural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t>
            </w:r>
            <w:r w:rsidDel="00000000" w:rsidR="00000000" w:rsidRPr="00000000">
              <w:rPr>
                <w:color w:val="4a86e8"/>
                <w:rtl w:val="0"/>
              </w:rPr>
              <w:t xml:space="preserve">                              </w:t>
            </w:r>
            <w:r w:rsidDel="00000000" w:rsidR="00000000" w:rsidRPr="00000000">
              <w:rPr>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pPr>
            <w:r w:rsidDel="00000000" w:rsidR="00000000" w:rsidRPr="00000000">
              <w:rPr>
                <w:rtl w:val="0"/>
              </w:rPr>
              <w:t xml:space="preserve">Energy sources </w:t>
            </w:r>
          </w:p>
          <w:p w:rsidR="00000000" w:rsidDel="00000000" w:rsidP="00000000" w:rsidRDefault="00000000" w:rsidRPr="00000000" w14:paraId="00000055">
            <w:pPr>
              <w:pageBreakBefore w:val="0"/>
              <w:widowControl w:val="0"/>
              <w:spacing w:line="240" w:lineRule="auto"/>
              <w:rPr/>
            </w:pPr>
            <w:r w:rsidDel="00000000" w:rsidR="00000000" w:rsidRPr="00000000">
              <w:rPr>
                <w:rtl w:val="0"/>
              </w:rPr>
              <w:t xml:space="preserve">Energy storage Insulation </w:t>
            </w:r>
          </w:p>
          <w:p w:rsidR="00000000" w:rsidDel="00000000" w:rsidP="00000000" w:rsidRDefault="00000000" w:rsidRPr="00000000" w14:paraId="00000056">
            <w:pPr>
              <w:pageBreakBefore w:val="0"/>
              <w:widowControl w:val="0"/>
              <w:spacing w:line="240" w:lineRule="auto"/>
              <w:rPr/>
            </w:pPr>
            <w:r w:rsidDel="00000000" w:rsidR="00000000" w:rsidRPr="00000000">
              <w:rPr>
                <w:rtl w:val="0"/>
              </w:rPr>
              <w:t xml:space="preserve">(</w:t>
            </w:r>
            <w:r w:rsidDel="00000000" w:rsidR="00000000" w:rsidRPr="00000000">
              <w:rPr>
                <w:color w:val="4a86e8"/>
                <w:rtl w:val="0"/>
              </w:rPr>
              <w:t xml:space="preserve">                                     </w:t>
            </w:r>
            <w:r w:rsidDel="00000000" w:rsidR="00000000" w:rsidRPr="00000000">
              <w:rPr>
                <w:rtl w:val="0"/>
              </w:rPr>
              <w:t xml:space="preserve"> )</w:t>
            </w:r>
          </w:p>
          <w:p w:rsidR="00000000" w:rsidDel="00000000" w:rsidP="00000000" w:rsidRDefault="00000000" w:rsidRPr="00000000" w14:paraId="00000057">
            <w:pPr>
              <w:pageBreakBefore w:val="0"/>
              <w:widowControl w:val="0"/>
              <w:spacing w:line="240" w:lineRule="auto"/>
              <w:rPr/>
            </w:pPr>
            <w:r w:rsidDel="00000000" w:rsidR="00000000" w:rsidRPr="00000000">
              <w:rPr>
                <w:rtl w:val="0"/>
              </w:rPr>
              <w:t xml:space="preserve">Waterproofing</w:t>
            </w:r>
          </w:p>
          <w:p w:rsidR="00000000" w:rsidDel="00000000" w:rsidP="00000000" w:rsidRDefault="00000000" w:rsidRPr="00000000" w14:paraId="00000058">
            <w:pPr>
              <w:pageBreakBefore w:val="0"/>
              <w:widowControl w:val="0"/>
              <w:spacing w:line="240" w:lineRule="auto"/>
              <w:rPr/>
            </w:pPr>
            <w:r w:rsidDel="00000000" w:rsidR="00000000" w:rsidRPr="00000000">
              <w:rPr>
                <w:rtl w:val="0"/>
              </w:rPr>
              <w:t xml:space="preserve">Membranes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Contractile (             )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Catalytic (</w:t>
            </w:r>
            <w:r w:rsidDel="00000000" w:rsidR="00000000" w:rsidRPr="00000000">
              <w:rPr>
                <w:color w:val="4a86e8"/>
                <w:rtl w:val="0"/>
              </w:rPr>
              <w:t xml:space="preserve">                </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Structural</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Messengers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Membranes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60">
      <w:pPr>
        <w:pageBreakBefore w:val="0"/>
        <w:ind w:left="0" w:firstLine="0"/>
        <w:rPr/>
      </w:pPr>
      <w:r w:rsidDel="00000000" w:rsidR="00000000" w:rsidRPr="00000000">
        <w:rPr>
          <w:rtl w:val="0"/>
        </w:rPr>
      </w:r>
    </w:p>
    <w:p w:rsidR="00000000" w:rsidDel="00000000" w:rsidP="00000000" w:rsidRDefault="00000000" w:rsidRPr="00000000" w14:paraId="00000061">
      <w:pPr>
        <w:pageBreakBefore w:val="0"/>
        <w:numPr>
          <w:ilvl w:val="0"/>
          <w:numId w:val="1"/>
        </w:numPr>
        <w:ind w:left="720" w:hanging="360"/>
        <w:rPr>
          <w:u w:val="none"/>
        </w:rPr>
      </w:pPr>
      <w:r w:rsidDel="00000000" w:rsidR="00000000" w:rsidRPr="00000000">
        <w:rPr>
          <w:rtl w:val="0"/>
        </w:rPr>
        <w:t xml:space="preserve">Complete the following paragraph, using the words provided below. Each word may be used once, or not at all. </w:t>
      </w:r>
    </w:p>
    <w:p w:rsidR="00000000" w:rsidDel="00000000" w:rsidP="00000000" w:rsidRDefault="00000000" w:rsidRPr="00000000" w14:paraId="00000062">
      <w:pPr>
        <w:pageBreakBefore w:val="0"/>
        <w:spacing w:line="360" w:lineRule="auto"/>
        <w:rPr>
          <w:b w:val="1"/>
          <w:bCs w:val="1"/>
        </w:rPr>
      </w:pPr>
      <w:r w:rsidDel="00000000" w:rsidR="00000000" w:rsidRPr="00000000">
        <w:rPr>
          <w:rtl w:val="0"/>
        </w:rPr>
      </w:r>
    </w:p>
    <w:p w:rsidR="00000000" w:rsidDel="00000000" w:rsidP="00000000" w:rsidRDefault="00000000" w:rsidRPr="00000000" w14:paraId="00000063">
      <w:pPr>
        <w:pageBreakBefore w:val="0"/>
        <w:spacing w:line="360" w:lineRule="auto"/>
        <w:ind w:firstLine="720"/>
        <w:rPr>
          <w:b w:val="1"/>
          <w:bCs w:val="1"/>
        </w:rPr>
      </w:pPr>
      <w:r w:rsidDel="00000000" w:rsidR="00000000" w:rsidRPr="00000000">
        <w:rPr>
          <w:b w:val="1"/>
          <w:bCs w:val="1"/>
          <w:rtl w:val="0"/>
        </w:rPr>
        <w:t xml:space="preserve">Simple</w:t>
        <w:tab/>
        <w:t xml:space="preserve">smaller </w:t>
        <w:tab/>
        <w:t xml:space="preserve">polysaccharides</w:t>
        <w:tab/>
        <w:t xml:space="preserve">macromolecules</w:t>
      </w:r>
    </w:p>
    <w:p w:rsidR="00000000" w:rsidDel="00000000" w:rsidP="00000000" w:rsidRDefault="00000000" w:rsidRPr="00000000" w14:paraId="00000064">
      <w:pPr>
        <w:pageBreakBefore w:val="0"/>
        <w:spacing w:line="360" w:lineRule="auto"/>
        <w:ind w:firstLine="720"/>
        <w:rPr>
          <w:b w:val="1"/>
          <w:bCs w:val="1"/>
        </w:rPr>
      </w:pPr>
      <w:r w:rsidDel="00000000" w:rsidR="00000000" w:rsidRPr="00000000">
        <w:rPr>
          <w:b w:val="1"/>
          <w:bCs w:val="1"/>
          <w:rtl w:val="0"/>
        </w:rPr>
        <w:t xml:space="preserve">Base</w:t>
        <w:tab/>
        <w:tab/>
        <w:t xml:space="preserve">amino acids</w:t>
        <w:tab/>
        <w:t xml:space="preserve">glycerol</w:t>
        <w:tab/>
        <w:tab/>
        <w:t xml:space="preserve">starch</w:t>
      </w:r>
    </w:p>
    <w:p w:rsidR="00000000" w:rsidDel="00000000" w:rsidP="00000000" w:rsidRDefault="00000000" w:rsidRPr="00000000" w14:paraId="00000065">
      <w:pPr>
        <w:pageBreakBefore w:val="0"/>
        <w:spacing w:line="360" w:lineRule="auto"/>
        <w:ind w:firstLine="720"/>
        <w:rPr>
          <w:b w:val="1"/>
          <w:bCs w:val="1"/>
        </w:rPr>
      </w:pPr>
      <w:r w:rsidDel="00000000" w:rsidR="00000000" w:rsidRPr="00000000">
        <w:rPr>
          <w:b w:val="1"/>
          <w:bCs w:val="1"/>
          <w:rtl w:val="0"/>
        </w:rPr>
        <w:t xml:space="preserve">Triglycerides</w:t>
        <w:tab/>
        <w:t xml:space="preserve">condensation </w:t>
      </w:r>
    </w:p>
    <w:p w:rsidR="00000000" w:rsidDel="00000000" w:rsidP="00000000" w:rsidRDefault="00000000" w:rsidRPr="00000000" w14:paraId="00000066">
      <w:pPr>
        <w:pageBreakBefore w:val="0"/>
        <w:spacing w:line="360" w:lineRule="auto"/>
        <w:ind w:firstLine="720"/>
        <w:rPr/>
      </w:pPr>
      <w:r w:rsidDel="00000000" w:rsidR="00000000" w:rsidRPr="00000000">
        <w:rPr>
          <w:rtl w:val="0"/>
        </w:rPr>
      </w:r>
    </w:p>
    <w:p w:rsidR="00000000" w:rsidDel="00000000" w:rsidP="00000000" w:rsidRDefault="00000000" w:rsidRPr="00000000" w14:paraId="00000067">
      <w:pPr>
        <w:pageBreakBefore w:val="0"/>
        <w:spacing w:line="360" w:lineRule="auto"/>
        <w:ind w:left="720" w:firstLine="0"/>
        <w:rPr>
          <w:b w:val="1"/>
          <w:bCs w:val="1"/>
        </w:rPr>
      </w:pPr>
      <w:r w:rsidDel="00000000" w:rsidR="00000000" w:rsidRPr="00000000">
        <w:rPr>
          <w:rtl w:val="0"/>
        </w:rPr>
        <w:t xml:space="preserve">Biological molecules are often </w:t>
      </w:r>
      <w:r w:rsidDel="00000000" w:rsidR="00000000" w:rsidRPr="00000000">
        <w:rPr>
          <w:rtl w:val="0"/>
        </w:rPr>
        <w:t xml:space="preserve">____</w:t>
      </w:r>
      <w:r w:rsidDel="00000000" w:rsidR="00000000" w:rsidRPr="00000000">
        <w:rPr>
          <w:color w:val="0000ff"/>
          <w:rtl w:val="0"/>
        </w:rPr>
        <w:t xml:space="preserve">,</w:t>
      </w:r>
      <w:r w:rsidDel="00000000" w:rsidR="00000000" w:rsidRPr="00000000">
        <w:rPr>
          <w:rtl w:val="0"/>
        </w:rPr>
        <w:t xml:space="preserve"> built from ____ molecules which join together through ____reactions. ____ are built from simple sugars; ____ is an example. Peptides and proteins are built from ____. Fats are built from ____ and fatty acids. </w:t>
      </w:r>
      <w:r w:rsidDel="00000000" w:rsidR="00000000" w:rsidRPr="00000000">
        <w:rPr>
          <w:rtl w:val="0"/>
        </w:rPr>
      </w:r>
    </w:p>
    <w:p w:rsidR="00000000" w:rsidDel="00000000" w:rsidP="00000000" w:rsidRDefault="00000000" w:rsidRPr="00000000" w14:paraId="00000068">
      <w:pPr>
        <w:pageBreakBefore w:val="0"/>
        <w:jc w:val="left"/>
        <w:rPr>
          <w:b w:val="1"/>
          <w:bCs w:val="1"/>
          <w:sz w:val="20"/>
          <w:szCs w:val="20"/>
        </w:rPr>
      </w:pPr>
      <w:r w:rsidDel="00000000" w:rsidR="00000000" w:rsidRPr="00000000">
        <w:rPr>
          <w:rtl w:val="0"/>
        </w:rPr>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pageBreakBefore w:val="0"/>
      <w:jc w:val="center"/>
      <w:rPr/>
    </w:pPr>
    <w:r w:rsidDel="00000000" w:rsidR="00000000" w:rsidRPr="00000000">
      <w:rPr>
        <w:rtl w:val="0"/>
      </w:rPr>
      <w:t xml:space="preserve">Human nutrition 1a</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